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вуглеводневих скупчень в </w:t>
      </w:r>
      <w:proofErr w:type="spellStart"/>
      <w:r w:rsidRPr="003B5740">
        <w:rPr>
          <w:rFonts w:ascii="Times New Roman" w:hAnsi="Times New Roman" w:cs="Times New Roman"/>
          <w:b/>
          <w:sz w:val="28"/>
          <w:szCs w:val="28"/>
          <w:lang w:val="uk-UA"/>
        </w:rPr>
        <w:t>геотемпературному</w:t>
      </w:r>
      <w:proofErr w:type="spellEnd"/>
      <w:r w:rsidRPr="003B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Сучасні дані нафтогазоносності надр показують, що в межах нафтогазоносних провінцій і областей спостерігається певна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діференція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в розміщенні вуглеводневих скупчень. Вона полягає в тому, що в нафтогазоносних провінціях можуть бути виділені зони переважного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газонакопичення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або нафто-накопичення, а також змішаного характеру. Відомо, що з збільшенням глибин залягання продуктивних горизонтів та зростанням пластових температур та тисків в розрізі осадового комплексу порід відбувається зміна нафтових покладів нафтогазовими, газоконденсатними, нарешті, чисто газовими. При знижених температурах в надрах нафтогазоносного басейну, що має невелику потужність осадів, можуть бути поширені лише нафтові поклади. Термодинамічні умови в осадовому комплексі земної кори різних нафтогазоносних регіонів розглянуті у загальних рисах в роботі Ю.А.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Висковського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>. Показано, що залежно від ступеня гідродинамічної врівноваженості системи змінюється характер взаємозв'язку пластових температур і тисків в покладах вуглеводнів.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В даний час наявність вертикальної зональності та поява на великих глибинах зони переважної газоносності не викликає ні в кого сумнівів. Однак, межа зони переважного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газонакопичення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в різних регіонах фіксується на різних глибинах і контролюється відповідними термодинамічними умовами. У той же час причина такої зональності в даний час не має однозначної інтерпретації. Найбільш загальна схема генетичного зв’язку вертикальної зональності розміщення інтервалів переважного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нафтонакопичення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газонакопичення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глибини і термодинамічних умов запропонована В.А. Соколовим. За його уявленням в зоні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термокаталітичних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процесів (1-</w:t>
      </w:r>
      <w:smartTag w:uri="urn:schemas-microsoft-com:office:smarttags" w:element="metricconverter">
        <w:smartTagPr>
          <w:attr w:name="ProductID" w:val="6 к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6 км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при середньому геотермічному 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градієнті) з органічної речовини утворюється нафта і вуглеводневий газ. У нижній газовій зоні (</w:t>
      </w:r>
      <w:smartTag w:uri="urn:schemas-microsoft-com:office:smarttags" w:element="metricconverter">
        <w:smartTagPr>
          <w:attr w:name="ProductID" w:val="6 к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6 км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і глибше), де температура сягає 180-200 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С і вище, в результаті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гідрогенезаціі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органічної речовини і перетворень нафтових вуглеводнів основним вуглеводневим компонентом стає метан. Вертикальна термодинамічна зональність розміщення нафтових і газових родовищ досить чітко простежується в ряді нафтогазоносних провінцій. Так, у внутрішній зоні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Передкарпатського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прогину в міру збільшення глибин, а відповідно температури, нафтові поклади змінюються газоконденсатними. Подібна закономірність і в північно-західній частині Дніпровсько-Донецької западини, де на великих глибинах, нижче відомих нафтових родовищ, в останні роки відкрита серія газоконденсатних покладів.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загальної термодинамічної обстановки в земній корі, існування вертикальної зональності в розміщенні нафти і газу в осадових покладах, являє собою принципову природну закономірність. Однак, під впливом деяких вторинних процесів, вертикальна зональність може бути порушена. В ряді випадків в осадовому розрізі аж до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приповерхневих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покладів переважають газові родовища, що формують зони переважної газоносності, які й визначають просторову зональність газоносних та нафтоносних районів.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Глибоким і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зверхглубоким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бурінням підтверджено існування чисто газових областей аж до глибин 5000-</w:t>
      </w:r>
      <w:smartTag w:uri="urn:schemas-microsoft-com:office:smarttags" w:element="metricconverter">
        <w:smartTagPr>
          <w:attr w:name="ProductID" w:val="7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7000 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і спростована в ряді випадків наявність чисто нафтових районів. Під нафтовими покладами на великих глибинах, де потужність осадового чохла перевищувала 4000-</w:t>
      </w:r>
      <w:smartTag w:uri="urn:schemas-microsoft-com:office:smarttags" w:element="metricconverter">
        <w:smartTagPr>
          <w:attr w:name="ProductID" w:val="5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5000 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>, в деяких регіонах виявлені газові родовища. Враховуючи що на великих глибинах в осадовій товщі найбільш поширені газоподібні вуглеводні, в даний час про горизонтальну зональність розміщення нафтових і газових родовищ в окремих регіонах можна говорити лише умовно (маючи на увазі певні, відносно невеликі глибини).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Вивчення регіональних температурних полів нафтогазоносних провінцій і областей виявило тісний зв'язок між просторовим розміщенням родовищ 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нафти та газу в умовах відносно невеликих глибин і напруженістю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геотемпературного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поля. Нафтові родовища у верхніх частинах розрізу зазвичай приурочені до зон пониження температур, а газові - до підвищених. Виявляється певний зв’язок і з величинами геотермічних градієнтів. Так, для нафтових покладів найбільш характерні величини геотермічного градієнту 1,0 – 1,5 і                      2,5 – 3,0 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С/100м. На нафтових родовищах, де величина геотермічного градієнту перевищує 3,0 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С/100 м, в основному нафтові залежи чергуються з нафтогазовими,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газоконденсат-ними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та газовими. Найбільш характерними для газових родовищ є величини геотермічних градієнтів 3,0 – 3,5 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С/100 м. Газові родовища, котрим притаманні більш низькі значення геотермічного градієнту, як правило, пов'язані з невеликими глибинами залягання покладів або приурочені до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глибоко-зануренним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газовим покладам, розвиненим в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низько-температурних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зонах переважного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нафтонакопичення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>. Підтвердження того, що зони розвитку газових родовищ в порівняні з нафтовими, характеризують більш високі значення геотермічного градієнту, свідчать дані температурних досліджень по ряду нафтогазоносних басейнів. Характерним прикладом просторового розташування родовищ нафти та газу в межах древніх платформ може служити Дніпровсько-Донецька западина (рис.3). Тут нафтогазоносність встановлено у покладах від палеозойського до кайнозойського віків включно. У просторовому розташуванні покладів вуглеводнів спостеріг-гаються цікаві властивості, помічені багаторазовими дослідженнями. Північно-західні, найменш занурені райони, містять в основному нафтові поклади, а південно-східні, що примикають до складчастої зони Донбасу, які зазнали найбільшого занурення, являються переважно газоносними. У центральній частині Дніпровського грабена розвинені, головним чином, нафтогазоносні поклади, що відрізняються складним співвідношенням поверхів нафтоносності та газоносності по розрізу (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Качанівське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Солохівське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Радченківське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Зачепилівське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та інші родовища). Горизонтальна зональність розташування покладів вуглеводнів простежується в інтервалі 1000-</w:t>
      </w:r>
      <w:smartTag w:uri="urn:schemas-microsoft-com:office:smarttags" w:element="metricconverter">
        <w:smartTagPr>
          <w:attr w:name="ProductID" w:val="3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3000 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. Особливо добре 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вона фіксується по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верхньокаменовугільно-ніжнепермському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нафтогазоносному комплексі. Усі газові родовища зосереджені в самій зануреній мобільній зоні грабена. До неї приурочені найбільш великі родовища: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Шебелинське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Хрестищенське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Ефремівське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та інші. 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кожна виділена зона має певний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геотемпературний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режим. У Внутрішній зоні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Передкарпатського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прогину розвинені нафтові родовища. Вона характеризується відносно зниженим температурним фоном, у той час як газоносні райони Зовнішньої зони, де поклади газу розташовані на відносно невеликих глибинах, мають високі значення температур і геотермічних градієнтів.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344ED90" wp14:editId="365AAE44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6635750" cy="3666490"/>
            <wp:effectExtent l="0" t="0" r="0" b="0"/>
            <wp:wrapTight wrapText="bothSides">
              <wp:wrapPolygon edited="0">
                <wp:start x="0" y="0"/>
                <wp:lineTo x="0" y="21435"/>
                <wp:lineTo x="21517" y="21435"/>
                <wp:lineTo x="215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Рисунок 3 – Дніпровсько-донецька западина. Схема розподілу температур на глибіні </w:t>
      </w:r>
      <w:smartTag w:uri="urn:schemas-microsoft-com:office:smarttags" w:element="metricconverter">
        <w:smartTagPr>
          <w:attr w:name="ProductID" w:val="1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1000 м</w:t>
        </w:r>
      </w:smartTag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На рис.4 показано розміщення нафтових і газових родовищ Передкарпаття на глибині до </w:t>
      </w:r>
      <w:smartTag w:uri="urn:schemas-microsoft-com:office:smarttags" w:element="metricconverter">
        <w:smartTagPr>
          <w:attr w:name="ProductID" w:val="2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2000 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, а також основні геотермічні райони. Як бачимо, головна газоносна ділянка (північно-західна частина Зовнішньої зони) супроводжується найбільш високими геотермічними параметрами. Температура на глибині </w:t>
      </w:r>
      <w:smartTag w:uri="urn:schemas-microsoft-com:office:smarttags" w:element="metricconverter">
        <w:smartTagPr>
          <w:attr w:name="ProductID" w:val="1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1000 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тут 40-50 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>С, а геотермічний градієнт в інтервалі 1000-</w:t>
      </w:r>
      <w:smartTag w:uri="urn:schemas-microsoft-com:office:smarttags" w:element="metricconverter">
        <w:smartTagPr>
          <w:attr w:name="ProductID" w:val="2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2000 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досягає 4,5 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С/100 м. У зоні розвитку нафтових покладів температура не перевищує 35 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С, а геотермічний градієнт менше 3,0 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>С/100 м. Газові родовища з невеликим геотермічним градієнтом, притаманні нафтовим покладам, незначні за запасами (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Кавське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Косівське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та інші). При однакових фонових значеннях температури, величини локальних аномалій на нафтових родовищах однозначно нижче, ніж на газових. У ряді нафтогазоносних провінцій формування газових родовищ на невеликих глибинах (утворюють просторову зональність розміщення нафтових і газових родовищ) могло відбуватися внаслідок висхідній міграції газоподібних вуглеводнів, що володіє підвищеною міграційної здатністю, по розломах, зонах тріщинуватості і </w:t>
      </w:r>
      <w:bookmarkStart w:id="0" w:name="_GoBack"/>
      <w:bookmarkEnd w:id="0"/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мікротріщинуватості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і по з’єднувальним порам.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FDC3168" wp14:editId="4D60404B">
            <wp:simplePos x="0" y="0"/>
            <wp:positionH relativeFrom="column">
              <wp:posOffset>664210</wp:posOffset>
            </wp:positionH>
            <wp:positionV relativeFrom="paragraph">
              <wp:posOffset>29210</wp:posOffset>
            </wp:positionV>
            <wp:extent cx="4465955" cy="4420870"/>
            <wp:effectExtent l="0" t="0" r="0" b="0"/>
            <wp:wrapTight wrapText="bothSides">
              <wp:wrapPolygon edited="0">
                <wp:start x="0" y="0"/>
                <wp:lineTo x="0" y="21501"/>
                <wp:lineTo x="21468" y="21501"/>
                <wp:lineTo x="214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442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Рисунок 4 –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Передкарпатський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прогин. Розподілення температур на глибині </w:t>
      </w:r>
      <w:smartTag w:uri="urn:schemas-microsoft-com:office:smarttags" w:element="metricconverter">
        <w:smartTagPr>
          <w:attr w:name="ProductID" w:val="1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1000 м</w:t>
        </w:r>
      </w:smartTag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1 – нафтові родовища; 2 – газові родовища; 3 – нафтогазові родовища; 4 – ізотерми на глибині </w:t>
      </w:r>
      <w:smartTag w:uri="urn:schemas-microsoft-com:office:smarttags" w:element="metricconverter">
        <w:smartTagPr>
          <w:attr w:name="ProductID" w:val="1000 м"/>
        </w:smartTagPr>
        <w:r w:rsidRPr="003B5740">
          <w:rPr>
            <w:rFonts w:ascii="Times New Roman" w:hAnsi="Times New Roman" w:cs="Times New Roman"/>
            <w:sz w:val="28"/>
            <w:szCs w:val="28"/>
            <w:lang w:val="uk-UA"/>
          </w:rPr>
          <w:t>1000 м</w:t>
        </w:r>
      </w:smartTag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B57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t>С); 5 – границі тектонічних зон.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В цілому встановлено, що в нафтогазоносних басейнах зони розвитку переважного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газонакопичення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приурочені до тектонічно найбільш активним районам, в межах яких відмічаються сучасні висхідні рухи флюїдів. Природно, що такі переміщення вуглеводневих флюїдів активізують приплив тепла з надр, викликаючи підвищення фонової температури у всій осадовій товщі даного району. Більша частина газових родовищ, які розташовані в верхніх частинах розрізу, супроводжується різними гідрогеологічними та геохімічними аномаліями, які є наслідком відносно недавньої міграції флюїдів. Зокрема, висхідна (як латеральна, так і вертикальна) міграція флюїдів суттєво підвищує температуру на шляху транзиту і родовище газу виявляються в умовах незвичних для них малих глибин, але у властивій їм підвищеній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геотемпературній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обстановці. Взаємозв’язок просторового розташування покладів нафти та газу з </w:t>
      </w:r>
      <w:proofErr w:type="spellStart"/>
      <w:r w:rsidRPr="003B5740">
        <w:rPr>
          <w:rFonts w:ascii="Times New Roman" w:hAnsi="Times New Roman" w:cs="Times New Roman"/>
          <w:sz w:val="28"/>
          <w:szCs w:val="28"/>
          <w:lang w:val="uk-UA"/>
        </w:rPr>
        <w:t>геотемпературним</w:t>
      </w:r>
      <w:proofErr w:type="spellEnd"/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 полем, приуроченість газових родовищ в умовах малих глибин до областей підвищених температур визначаються виключно процесами їх формування. У основі цих уявлень - зв’язок високотемпературних ділянок з зонами переважно висхідного руху нафти, газу і вод в неотектонічний етап (рис.5). При цьому, враховуючи велику міграційну здатність газоподібних вуглеводнів, частіше зони підвищених температур пов'язані з газоносними у верхній частині розрізу районами. Саме на активних молодих платформах і в геосинклінальних областях газ займає більш підняті і добре прогріті ділянки. 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008F4B1A" wp14:editId="1440CD5C">
            <wp:simplePos x="0" y="0"/>
            <wp:positionH relativeFrom="column">
              <wp:posOffset>-186690</wp:posOffset>
            </wp:positionH>
            <wp:positionV relativeFrom="paragraph">
              <wp:posOffset>3658870</wp:posOffset>
            </wp:positionV>
            <wp:extent cx="24860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17" y="21438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74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12FCA5" wp14:editId="14730A17">
            <wp:simplePos x="0" y="0"/>
            <wp:positionH relativeFrom="column">
              <wp:posOffset>-667385</wp:posOffset>
            </wp:positionH>
            <wp:positionV relativeFrom="paragraph">
              <wp:posOffset>106680</wp:posOffset>
            </wp:positionV>
            <wp:extent cx="7014210" cy="3764280"/>
            <wp:effectExtent l="0" t="0" r="0" b="7620"/>
            <wp:wrapTight wrapText="bothSides">
              <wp:wrapPolygon edited="0">
                <wp:start x="0" y="0"/>
                <wp:lineTo x="0" y="21534"/>
                <wp:lineTo x="21530" y="21534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376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>Рисунок 5 Схема співставлення геотермічного стану і неотектонічних рухів в Дніпровсько-Донецькій западині</w:t>
      </w:r>
    </w:p>
    <w:p w:rsidR="003B5740" w:rsidRPr="003B5740" w:rsidRDefault="003B5740" w:rsidP="003B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4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тепловий режим нафтогазоносних провінцій в основному зумовлюється тими ж геологічними факторами, які зумовили просторове розміщення покладів нафти і газу. Такий зв'язок проявляється повсюдно, носить принциповий характер і не залежить від особливостей розміщення скупчень вуглеводнів в різних тектонічних зонах. Поділ нафтогазоносних регіонів за ступенем напруженості температурного поля в цілому відповідає їх сучасної тектонічної активності. Комплекс неотектонічних умов через густоту і розкриття тріщин самих пізніх генерацій визначає проникність </w:t>
      </w:r>
      <w:r w:rsidRPr="003B574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осадових порід. При формуванні покладів вони повинні бути достатньо значними для підтікання вуглеводнів у пастку і достатньо помірної для забезпечення відносної герметичності покришок. Таким чином, досить висока температурна напруга, також як и низька, безпосередньо пов'язані з сучасною активністю процесів формування і переформування родовищ вуглеводнів, та з цих позицій перспективи нафтогазоносності таких регіонів не можуть бути високо оцінені. Визначальним чинником служить положення в розрізі середньої зони, її термодинамічна характеристика.</w:t>
      </w:r>
    </w:p>
    <w:p w:rsidR="00CE63F7" w:rsidRPr="003B5740" w:rsidRDefault="00CE63F7" w:rsidP="003B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63F7" w:rsidRPr="003B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D"/>
    <w:rsid w:val="003B5740"/>
    <w:rsid w:val="00CE63F7"/>
    <w:rsid w:val="00D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1584</Words>
  <Characters>9033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</dc:creator>
  <cp:keywords/>
  <dc:description/>
  <cp:lastModifiedBy>Iskander</cp:lastModifiedBy>
  <cp:revision>2</cp:revision>
  <dcterms:created xsi:type="dcterms:W3CDTF">2016-12-06T11:13:00Z</dcterms:created>
  <dcterms:modified xsi:type="dcterms:W3CDTF">2016-12-06T11:14:00Z</dcterms:modified>
</cp:coreProperties>
</file>